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IV 266</w:t>
      </w:r>
    </w:p>
    <w:p>
      <w:r>
        <w:t>Bundesgericht (BGE), 2021-09-13, FR</w:t>
      </w:r>
    </w:p>
    <w:p>
      <w:r>
        <w:rPr>
          <w:b/>
        </w:rPr>
        <w:t xml:space="preserve">Quelle: </w:t>
      </w:r>
      <w:r>
        <w:t>https://mcp.opencaselaw.ch/entscheid/bge_149 IV 266</w:t>
      </w:r>
    </w:p>
    <w:p>
      <w:r>
        <w:t>FR: ATF 149 IV 266</w:t>
      </w:r>
    </w:p>
    <w:p>
      <w:r>
        <w:t>IT: DTF 149 IV 266</w:t>
      </w:r>
    </w:p>
    <w:p>
      <w:pPr>
        <w:pStyle w:val="Heading2"/>
      </w:pPr>
      <w:r>
        <w:t>Regeste</w:t>
      </w:r>
    </w:p>
    <w:p>
      <w:r>
        <w:t>Regeste Art. 431 Abs. 1 StPO; zuständige Behörde für den Entscheid betreffend die Entschädigung wegen rechtswidriger Haftbedingungen. Welche Behörde für den Entscheid betreffend die Entschädigung wegen rechtswidriger Haftbedingungen zuständig ist, hängt vom Zeitpunkt der Beantragung der Entschädigung ab. Im Fall eines rechtshängigen Strafverfahrens basiert die Entschädigung auf Art. 431 Abs. 1 StPO, was die Zuständigkeit der urteilenden Behörde begründet. Demgegenüber kann eine Entschädigung für rechtswidrige Haftbedingungen nach Ergehen des Urteils nur unter das kantonale Recht fallen, das die Staatshaftung und Zuständigkeit der in solchen Belangen entscheidkompetenten Behörde regelt. Im besonderen Fall, dass die Entschädigung wegen rechtswidriger Haftbedingungen die Vollstreckung einer Freiheitsstrafe aus einer früheren Verurteilung betrifft und diese Strafe als Ersatzmassnahme für die Untersuchungshaft in einem neuen Strafverfahren vollzogen wurde, liegt die Zuständigkeit bei der urteilenden Behörde, die mit der neuen Strafsache befasst ist (E. 6).</w:t>
      </w:r>
    </w:p>
    <w:p>
      <w:pPr>
        <w:pStyle w:val="Heading2"/>
      </w:pPr>
      <w:r>
        <w:t>Erwägungen</w:t>
      </w:r>
    </w:p>
    <w:p>
      <w:r>
        <w:rPr>
          <w:b/>
        </w:rPr>
        <w:t>E. 6</w:t>
      </w:r>
    </w:p>
    <w:p>
      <w:r>
        <w:t>Le recourant conteste la compétence de l'autorité de première instance pour se prononcer sur la juste indemnité qui lui a été octroyée du fait du caractère illicite de sa détention, soit en l'espèce une déduction de 29 jours de sa peine. Il soutient qu'elle était uniquement compétente pour se prononcer, au titre de l' art. 431 al. 1 CPP , sur la période durant laquelle il était en détention provisoire, alors que le juge civil l'était dès le moment où il a commencé l'exécution, à titre de mesure de substitution à la détention provisoire, de la peine privative de liberté résultant d'une précédente condamnation. BGE 149 IV 266 S. 270</w:t>
      </w:r>
    </w:p>
    <w:p>
      <w:r>
        <w:rPr>
          <w:b/>
        </w:rPr>
        <w:t>E. 6.1</w:t>
      </w:r>
    </w:p>
    <w:p>
      <w:r>
        <w:t>L'autorité de première instance a considéré être compétente, dans la mesure où l'exécution de la peine privative de liberté résultant d'une précédente condamnation l'était à titre de mesure de substitution à la détention provisoire. En référence à la jurisprudence fédérale ( ATF 140 IV 74 consid. 2.4, in JdT 2014 IV 289; arrêt 6B_1033/2018 / 6B_1040/2018 du 27 décembre 2018 consid. 2.2), la cour cantonale a confirmé cette analyse.</w:t>
      </w:r>
    </w:p>
    <w:p>
      <w:r>
        <w:rPr>
          <w:b/>
        </w:rPr>
        <w:t>E. 6.2</w:t>
      </w:r>
    </w:p>
    <w:p>
      <w:r>
        <w:t>La base légale permettant d'indemniser celui qui a été détenu dans des conditions illicites et, par extension, l'autorité potentiellement compétente pour ce faire, varient en fonction du moment où la demande d'indemnisation est déposée. Dans le cadre d'une procédure pénale, cette indemnisation peut notamment être fondée sur l' art. 431 al. 1 CPP , auquel cas l'autorité de jugement est compétente ( ATF 142 IV 245 consid. 4.1; ATF 141 IV 349 consid. 2.1; arrêt 6B_137/2016 du 1 er décembre 2016 consid. 1.1). En revanche, l'indemnisation des conditions de détention illicites après jugement ne peut guère relever que du droit cantonal régissant la responsabilité de l'Etat ( ATF 147 IV 55 consid. 2.2.1; ATF 141 IV 349 consid. 4.3), tout comme la compétence de l'autorité amenée à se prononcer. En l'espèce, il s'agit de déterminer si l'exécution dans des conditions illicites, à titre de mesure de substitution à la détention provisoire, d'une peine privative de liberté résultant d'une précédente condamnation, relève du droit fédéral ou du droit cantonal. La difficulté réside dans le fait que la détention illicite a certes eu lieu durant une procédure pénale, mais qu'elle concernait la peine fixée dans le cadre d'une autre procédure pénale ayant elle pris fin.</w:t>
      </w:r>
    </w:p>
    <w:p>
      <w:r>
        <w:rPr>
          <w:b/>
        </w:rPr>
        <w:t>E. 6.3</w:t>
      </w:r>
    </w:p>
    <w:p>
      <w:r>
        <w:t>L' art. 431 al. 1 CPP prévoit que si le prévenu a, de manière illicite, fait l'objet de mesures de contrainte, l'autorité pénale lui alloue une juste indemnité et réparation du tort moral. Cette disposition, tout comme le reste du CPP, ne fournissent pas de réponse claire à la question sous revue. Un certain nombre d'éléments parle toutefois en faveur d'une indemnisation sur la base de l' art. 431 al. 1 CPP et ainsi, la compétence de l'autorité de première instance. Tout d'abord, si la détention du recourant découle certes d'un précédent jugement, elle a été ordonnée à titre de mesure de substitution dans le cadre de la présente procédure pénale, ce qui laissait techniquement à l'autorité de jugement la possibilité de se prononcer sur l'éventuelle indemnité, ce qu'elle a d'ailleurs fait. Or, la jurisprudence prévoit que cette tâche incombe, dans la mesure du possible, BGE 149 IV 266 S. 271 "prioritairement", à l'autorité de jugement ( ATF 140 I 246 consid. 2.5.1, ATF 140 I 125 consid. 2.1; ATF 139 IV 41 consid. 3.4). A cela s'ajoute que, pour des motifs d'économie de procédure et pour assurer une meilleure coordination, il se justifie de rendre une seule décision à la fin de la procédure sur la question des indemnités (arrêt 1B_351/2012 du 20 septembre 2012 consid. 2.3.2; cf. sous l'ancien droit ATF 125 I 394 consid. 5). Admettre la thèse du recourant reviendrait à reconnaître une dualité de compétence pour se prononcer sur l'indemnité, alors que la période de détention illicite est exclusivement intervenue avant le rendu de la décision au fond, ce qui pourrait induire des incohérences. Ensuite, dire que l'indemnisation repose sur l' art. 431 al. 1 CPP présente l'avantage de lui conférer un caractère plus adapté aux circonstances, dans la mesure où l'autorité de jugement peut non seulement allouer une juste indemnité et réparation du tort moral, mais également une réduction de peine ( ATF 142 IV 245 consid. 4.3), alors que seule une réparation financière est à priori possible sous l'angle du droit cantonal régissant la responsabilité de l'Etat. Finalement, il découle de la jurisprudence que les mesures de substitution doivent subir le même sort que la détention avant jugement en ce qui concerne leur imputation sur la peine (par une application analogique de l' art. 51 CP ; ATF 140 IV 74 consid. 2.4). Il se justifie dès lors de prévoir une solution identique en matière d'indemnisation au sens de l' art. 431 al. 1 CPP , solution selon laquelle tant les mesures de substitution (indépendamment de leur nature) que les différentes formes de détention avant jugement donnent droit à une potentielle indemnité, moyennant respect des autres conditions de la disposition précitée.</w:t>
      </w:r>
    </w:p>
    <w:p>
      <w:r>
        <w:rPr>
          <w:b/>
        </w:rPr>
        <w:t>E. 6.4</w:t>
      </w:r>
    </w:p>
    <w:p>
      <w:r>
        <w:t>Il résulte de ce qui précède que la cour cantonale n'a pas violé le droit fédéral en confirmant la compétence de l'autorité de première instance pour se prononcer sur l'indemnité qui devait être allouée au recourant au sens de l' art. 431 al. 1 CPP pour l'intégralité de la détention illicite subie avant le rendu de la décision au fond, indépendamment de sa nature.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